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2011/49 vom 8. März 2012</w:t>
      </w:r>
    </w:p>
    <w:p>
      <w:r>
        <w:t>Sg Versicherungsgericht, 2012-03-08, DE</w:t>
      </w:r>
    </w:p>
    <w:p>
      <w:r>
        <w:rPr>
          <w:b/>
        </w:rPr>
        <w:t xml:space="preserve">Quelle: </w:t>
      </w:r>
      <w:r>
        <w:t>https://mcp.opencaselaw.ch/entscheid/sg_publikationen_AVI 2011_49</w:t>
      </w:r>
    </w:p>
    <w:p>
      <w:r>
        <w:t>FR: SG_VERSICHERUNGSGERICHT AVI 2011/49 du 8 mars 2012</w:t>
      </w:r>
    </w:p>
    <w:p>
      <w:r>
        <w:t>IT: SG_VERSICHERUNGSGERICHT AVI 2011/49 del 8 marzo 2012</w:t>
      </w:r>
    </w:p>
    <w:p>
      <w:pPr>
        <w:pStyle w:val="Heading2"/>
      </w:pPr>
      <w:r>
        <w:t>Regeste</w:t>
      </w:r>
    </w:p>
    <w:p>
      <w:r>
        <w:t>Art. 30 Abs. 1 lit. a AVIG, Art. 44 Abs. 1 lit. b AVIV. Einstellung wegen Selbstkündigung. Unzumutbarkeit eines Verbleibens an der Arbeitsstellte bejaht, da die Arbeitgeberin ihre arbeitsvertraglichen Pflichten (Nichtgewährung der Kompensation von Überstundenarbeit, kein Betrieb einer Arbeitszeitkontrolle, kein Lohnzuschlag bei Arbeit zwischen 22:00 bis 04:00 Uhr) verletzte und der Beschwerdeführer sich mehrere Monate vor der Kündigung um eine andere Stelle bemühte (Entscheid des Versicherungsgerichts des Kantons St. Gallen vom 8. März 2012, AVI 2011/49).</w:t>
      </w:r>
    </w:p>
    <w:p>
      <w:pPr>
        <w:pStyle w:val="Heading2"/>
      </w:pPr>
      <w:r>
        <w:t>Erwägungen</w:t>
      </w:r>
    </w:p>
    <w:p>
      <w:r>
        <w:rPr>
          <w:b/>
        </w:rPr>
        <w:t>E. 1</w:t>
      </w:r>
    </w:p>
    <w:p>
      <w:r>
        <w:t>Umstritten ist die Frage, ob die Beschwerdegegnerin den Beschwerdeführer zu Recht wegen selbstverschuldeter Arbeitslosigkeit 35 Tage in der Anspruchsberechtigung einstellte. 1.1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1.2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2.1    Gemäss Arbeitsvertrag vom 7. Juni 2008 wurde der Beschwerdeführer als Bäckergehilfe angestellt. Nebst den ausdrücklich vertraglich festgehaltenen Bestimmungen erklärten die Vertragsparteien "die jeweils gültigen Bestimmungen des GAV" für anwendbar (act. G 3.9). Mit überwiegender Wahrscheinlichkeit ist davon auszugehen, dass es sich hierbei um den Gesamtarbeitsvertrag für das Schweizerische Bäcker-, Konditoren- und Confiseurgewerbe handelt. "Die jeweils gültigen" GAV-Bestimmungen (d.h. für die Zeit bis 31. Dezember 2008 der bis dahin gültige GAV und für die Zeit danach der ab 1. Januar 2009 gültige GAV) bilden daher Bestandteil der Einzelarbeitsvertragsabrede und sind somit - soweit der Arbeitsvertrag keine ausdrücklich davon abweichenden Bestimmungen enthält - im Rahmen des vorliegend zu beurteilenden Arbeitsverhältnisses zu beachten. 2.2    Vorliegend beanstandete der Beschwerdeführer vor allem das Verhalten der ehemaligen Arbeitgeberin im zweiten Halbjahr 2010 (act. G 3.11). Für die Prüfung der Frage, ob die damalige Arbeitsstelle aufgrund von Vertragsverletzungen seitens der Arbeitgeberin dem Beschwerdeführer unzumutbar war, ist deshalb auf den GAV in der ab 1. Januar 2009 gültigen Fassung abzustellen. Mangels ausdrücklicher einzelvertraglicher Regelung bestehen gestützt auf die subsidiär anwendbaren GAV-Bestimmungen u.a. folgende Pflichten arbeitgeberseits: Anspruch auf 13. Monatslohn (Art. 13 GAV), Verpflichtung zur Führung einer Arbeitszeitkontrolle (Art. 16 GAV) mit gesonderter Eintragung von Überstunden (Art. 18 Abs. 3 GAV), 25% Lohnzuschlag bei Arbeitsstunden zwischen 22:00 bis 04:00 Uhr (Art. 17 Abs. 1 GAV) und Gewährung der Kompensation von Überstunden primär durch Freizeit (Art. 18 Abs. 4 GAV). 2.2.1           Rechtsprechungsgemäss ist der Tatbestand der selbstverschuldeten Arbeitslosigkeit dann nicht erfüllt, wenn bei geleisteten Überstunden in gegen das Gesetz oder die vertraglichen Abmachungen verstossender Weise weder ein Ausgleich durch Freizeit noch eine Entlöhnung erfolgt (Urteil des Eidgenössischen Versicherungsgerichts [EVG; seit 1. Januar 2007: Sozialrechtliche Abteilungen des Bundesgerichts] vom 20. August 2002, C 219/00, E. 2.2). 2.2.2           Vorab verletzte die damalige Arbeitgeberin ihre Pflicht zur Führung einer Arbeitszeitkontrolle, womit sie dem Beschwerdeführer den Nachweis von geleisteten Überstunden erschwerte, wenn nicht gar verunmöglichte. Im Rahmen der Beweiswürdigung ist dies zugunsten des Beschwerdeführers zu berücksichtigen. Bei der Frage, ob der Beschwerdeführer Überstunden geleistet hatte, fällt ins Gewicht, dass er eine plausible Auflistung der geleisteten Überstunden vorlegte (act. G 3.12). Damit geht einher, dass die Arbeitgeberin im Zwischenzeugnis vom 19. Januar 2009 (act. G 3.30) und im Schlusszeugnis vom 28. Februar 2011 (act. G 3.31) hervorhob, dass der Beschwerdeführer "stets bereit und in der Lage" gewesen sei, "zusätzliche Aufgaben zu übernehmen, auch über die übliche Arbeitszeit hinaus". Es ist deshalb mit überwiegender Wahrscheinlichkeit davon auszugehen, dass der Beschwerdeführer zumindest in nennenswertem Umfang Überstunden geleistet hat, deren Kompensation die damalige Arbeitgeberin - trotz dreimaligen Gesprächsanstrengungen des Beschwerdeführers (vgl. act. G 3.11) - verweigerte (act. G 3.13). 2.2.3           Dass die ehemalige Arbeitgeberin die vom Beschwerdeführer geltend gemachten Überstunden nicht anerkannte, vermag daran nichts zu ändern (Kündigungsbestätigung vom 4. Januar 2011, act. G 3.13), zumal diese Sichtweise mit den genannten Zeugnisangaben (act. G 3.30 f.) nicht zu vereinbaren ist. Des Weiteren darf auch nicht ausser Acht bleiben, dass der von der Arbeitgeberin vertretene Standpunkt nicht unvoreingenommen erfolgte und es im Übrigen ihre Pflicht gewesen wäre, für eine Arbeitszeitkontrolle mit gesonderter Überstundenerfassung zu sorgen (vgl. vorstehende E. 2.2). Die Behauptung, es bestünden im Jahr 6 Monate mit viel Arbeit und 6 Monate mit wenig Arbeit findet in den Akten keine Stütze. Zudem widerspricht dieser Darstellung die Überzeiterfassungen des Beschwerdeführers, der für 7 Monate eine Erfassung mit Überstunden unter Berücksichtigung von Minusstunden vorweist (August 2010 bis und mit Februar 2011, act. G 3.12). Selbst wenn Beschäftigungsschwankungen während eines Jahres vorgelegen hätten, wäre es im Übrigen nicht Sache der arbeitnehmenden Person, ohne explizite Vereinbarung beispielsweise einer Jahresarbeitszeit, solche Schwankungen auszugleichen. 2.3    Bei der Beurteilung der Unzumutbarkeit des Stellenverbleibs ist weiter zu berücksichtigen, dass der Beschwerdeführer gemäss des einzelarbeitsvertraglich für anwendbar erklärten Art. 17 Abs. 1 GAV für die von 22:00 bis 04:00 Uhr geleisteten Arbeitsstunden Anspruch auf einen Lohnzuschlag von 25% des vereinbarten Lohnes gehabt hätte. Aus den Lohnabrechnungen ergibt sich indessen, dass die Arbeitgeberin dieser Entschädigungspflicht für die unbestrittenermassen nach 22:00 Uhr geleisteten Arbeitsstunden nicht nachgekommen ist (act. G 3.10). Gleiches gilt im Übrigen für den Anspruch auf einen 13. Monatslohn (vgl. Art. 13 Abs. 1 GAV). 2.4    Zu Gunsten des Beschwerdeführers wirkt sich auch der Umstand aus, dass er sich nebst den von ihm mit der Arbeitgeberin gesuchten Gesprächen glaubhaft seit August 2010 um eine andere Stelle bemühte (zur Bewerbungsliste vgl. act. G 3.32) und trotz der wiederholten Pflichtverletzungen der Arbeitgeberin noch mehrere Monate mit einer Kündigung zuwartete. 2.5    In Würdigung der gesamten Umstände war dem Beschwerdeführer ein weiterer Verbleib bei der ehemaligen Arbeitgeberin nicht mehr zumutbar. Eine Einstellung nach Art. 30 Abs. 1 lit. a AVIG in Verbindung mit Art. 44 Abs. 1 lit. b AVIV fällt somit ausser Betracht.</w:t>
      </w:r>
    </w:p>
    <w:p>
      <w:r>
        <w:rPr>
          <w:b/>
        </w:rPr>
        <w:t>E. 3</w:t>
      </w:r>
    </w:p>
    <w:p>
      <w:r>
        <w:t>Nach dem Gesagten ist die Beschwerde gutzuheissen und der angefochtene Einspracheentscheid vom 8. Juli 2011 ist aufzuheben. Gerichtskosten sind keine zu erheben (Art. 61. lit. a des Bundesgesetzes über den Allgemeinen Teil des Sozialversicherungsrechts [ATSG; SR 830.1]). Demgemäss hat das Versicherungsgericht im Zirkulationsverfahren gemäss Art. 39 VRP entschieden: 1.       In Gutheissung der Beschwerde wird der Einspracheentscheid vom 8. Juli 2011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